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 </w:t>
      </w:r>
    </w:p>
    <w:tbl>
      <w:tblPr>
        <w:tblStyle w:val="Table1"/>
        <w:tblW w:w="8955.92056274414" w:type="dxa"/>
        <w:jc w:val="left"/>
        <w:tblInd w:w="107.9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55.92056274414"/>
        <w:tblGridChange w:id="0">
          <w:tblGrid>
            <w:gridCol w:w="8955.92056274414"/>
          </w:tblGrid>
        </w:tblGridChange>
      </w:tblGrid>
      <w:tr>
        <w:trPr>
          <w:cantSplit w:val="0"/>
          <w:trHeight w:val="497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8.343505859375" w:firstLine="0"/>
              <w:jc w:val="right"/>
              <w:rPr>
                <w:rFonts w:ascii="Arial" w:cs="Arial" w:eastAsia="Arial" w:hAnsi="Arial"/>
                <w:b w:val="0"/>
                <w:i w:val="0"/>
                <w:smallCaps w:val="0"/>
                <w:strike w:val="0"/>
                <w:color w:val="000000"/>
                <w:sz w:val="52.08000183105469"/>
                <w:szCs w:val="52.08000183105469"/>
                <w:u w:val="none"/>
                <w:shd w:fill="auto" w:val="clear"/>
                <w:vertAlign w:val="baseline"/>
              </w:rPr>
            </w:pPr>
            <w:r w:rsidDel="00000000" w:rsidR="00000000" w:rsidRPr="00000000">
              <w:rPr>
                <w:rFonts w:ascii="Arial" w:cs="Arial" w:eastAsia="Arial" w:hAnsi="Arial"/>
                <w:b w:val="0"/>
                <w:i w:val="0"/>
                <w:smallCaps w:val="0"/>
                <w:strike w:val="0"/>
                <w:color w:val="000000"/>
                <w:sz w:val="52.08000183105469"/>
                <w:szCs w:val="52.08000183105469"/>
                <w:u w:val="none"/>
                <w:shd w:fill="auto" w:val="clear"/>
                <w:vertAlign w:val="baseline"/>
                <w:rtl w:val="0"/>
              </w:rPr>
              <w:t xml:space="preserve">Avenant n° X à la Convention-type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625244140625" w:line="229.68602657318115" w:lineRule="auto"/>
              <w:ind w:left="363.7200927734375" w:right="241.7999267578125"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en vue d’associer un établissement d’enseignement  de droit local à l’exercice de la mission de service  public dévolue à l’agence pour l’enseignement  français à l’étranger.</w:t>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3.3599853515625" w:right="0.360107421875" w:firstLine="1.439971923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Vu le décret n° 2022-896 du 16 juin 2022 modifiant les modalités de recrutement, de  rémunération et de gestion des personnels des établissements d'enseignement  français à l'étranger ;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4.79995727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Vu les articles D. 911-42 et suivants du Code de l’éducation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829944610596" w:lineRule="auto"/>
        <w:ind w:left="4.5599365234375" w:right="-6.400146484375" w:firstLine="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Vu la Convention signée entre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XXXXX [nom de l’association]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 l’AEFE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XX/XX/XXXX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411865234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CET AVENANT EST CONCLU ENTRE LES SOUSSIGNES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6533203125" w:line="240" w:lineRule="auto"/>
        <w:ind w:left="20.6399536132812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Entre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29.90829944610596" w:lineRule="auto"/>
        <w:ind w:left="15.359954833984375" w:right="-5.92041015625" w:firstLine="2.1600341796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L’Agence pour l’enseignement français à l’étranger, représentée par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l’ambassadeur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de France à</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25.679931640625"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Ci-après dénommée AEFE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20263671875" w:line="240" w:lineRule="auto"/>
        <w:ind w:left="20.6399536132812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30.15780925750732" w:lineRule="auto"/>
        <w:ind w:left="15.359954833984375" w:right="1.441650390625" w:firstLine="0.9600830078125"/>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nom de l’association, fondation, société, …), en charge de la gestion du (nom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l’établissement) …., représenté(e) par son(a) président(e) M. / Mme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Ci-après dénommé(e) l’organisme gestionnaire.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6824340820312"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IL A ETE PREALABLEMENT EXPOSE CE QUI SUIT :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8.159942626953125" w:right="-3.399658203125" w:firstLine="10.0801086425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parties ont conclu une convention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le XX DATE 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ayant pour objet d’associer un  établissement d’enseignement de droit local à l’exercice de la mission de service public  dévolue à l’Agence pour l’enseignement français à l’étranger.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8.159942626953125" w:right="-5.08056640625" w:firstLine="2.4000549316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Cette convention fixe notamment les modalités selon lesquelles les personnels  détachés de l’AEFE exercent leur mission au sein de ces établissements  d’enseignement.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0328826904297" w:lineRule="auto"/>
        <w:ind w:left="6.479949951171875" w:right="-6.15966796875" w:hanging="0.96008300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Jusqu’à présent les personnels de l’AEFE détachés et mis à disposition dans ces  établissements étaient recrutés sur deux types de contrat de droit public : un contrat  dit « d’expatrié », réservé aux personnels encadrants (chefs d’établissements,  secrétaires généraux …), et un contrat dit « de résident », réservés aux personnels  enseignants.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88427734375" w:line="229.90789890289307" w:lineRule="auto"/>
        <w:ind w:left="3.3599853515625" w:right="-5.92041015625" w:firstLine="14.8800659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décret n°2022-896 du 16 juin 2022 modifiant les modalités de recrutement, de  rémunération et de gestion des personnels des établissements d'enseignement  français à l'étranger est venu modifier les articles D. 911-42 et suivants du code de  l’éducation et les dispositions du décret n°2022-22 du 4 janvier 2002 relatif à la  situation administrative et financière des personnels des établissements  d'enseignement français à l'étranger.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3.91998291015625" w:right="-6.160888671875" w:hanging="3.35998535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Ces modifications réglementaires ont conduit à la refonte des contrats de l’AEFE  permettant de passer d’une logique géographique liée à la notion de «résidence», à  une logique fonctionnelle définissant des catégories d’emplois.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7197265625" w:line="229.90779876708984" w:lineRule="auto"/>
        <w:ind w:left="8.39996337890625" w:right="0.1196289062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Trois contrats de détachés ont été créés pour assurer dans le réseau trois catégories  de missions :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81164550781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emplois d’encadrement des établissements du réseau ;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emplois de formation des enseignants du réseau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emplois d’enseignement, d’éducation et d’administration du réseau.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20263671875" w:line="229.97936725616455" w:lineRule="auto"/>
        <w:ind w:left="1.920013427734375" w:right="-6.400146484375" w:firstLine="8.639984130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 décret prévoit des dispositions transitoires et finales permettant aux fonctionnaires  détachés sur des contrats de personnels résidents antérieurement à l’entrée en  vigueur du décret du 16 juin 2022 de conserver le bénéfice des stipulations de leur  contrat ou d’opter, en fonction des missions qui leur sont confiées, pour les emplois  d’enseignement, d’éducation et administratif tels que définis par l’article D. 911-43-3  du code de l’éducation ou pour les emplois d’encadrement ou de formation des  enseignants du réseau de l’enseignement français à l’étranger, tels que définis par les  articles D. 911-43-1 et D. 911-43-2 du code de l’éducation.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54071044921875" w:line="229.90779876708984" w:lineRule="auto"/>
        <w:ind w:left="15.11993408203125" w:right="-2.440185546875" w:firstLine="3.1201171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Les Parties se sont rapprochées afin de modifier la convention susmentionnée comme  suit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Article 1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1928710937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l’article 6 est modifié comme suit :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14208984375" w:lineRule="auto"/>
        <w:ind w:left="7.920074462890625" w:right="-6.400146484375" w:firstLine="17.9998779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L’AEFE nomme les autres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personnels d’encadrement, les personnels de formation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des enseignants et les personnels d’enseignement, d’éducation et d’administration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qu’elle rémunère, après consultation des instances consultatives paritaires centrales  ou locales, constituées auprès d’elle. Ces personnels sont, pour l’exercice de leur  mission dans les niveaux homologués et pendant toute la durée de cette mission,  placés sous l’autorité du chef d’établissement et de l’ambassadeur de France,  représentant l’AEFE ».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1259765625"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Article 2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816406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l’article 12 est modifié comme suit :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558517456" w:lineRule="auto"/>
        <w:ind w:left="9.600067138671875" w:right="-1.959228515625" w:firstLine="16.31988525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contribution globale de l’organisme gestionnaire aux charges de l’AEFE,  conformément au 2</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ème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alinéa de l’article L. 452-7 du code de l’éducation, est  composée de :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733.8400268554688" w:right="2.16064453125" w:hanging="34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Pour les personnels d’enseignement, d’éducation et d’administration et les  personnels résidents :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229.90804195404053" w:lineRule="auto"/>
        <w:ind w:left="728.800048828125" w:right="-3.160400390625" w:hanging="356.320037841796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participation aux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émoluments des personnels d’enseignement, d’éducation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et d’administration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des personnels résidents dite Participation à 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Rémunération des Résidents et Détachés (PRRD)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dont le taux est déterminé  chaque année et arrêté d’un commun accord entre l’organisme gestionnaire et  l’AEFE composée des éléments suivants :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7431640625" w:line="240" w:lineRule="auto"/>
        <w:ind w:left="109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Traitement indiciaire,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Avantage famililal,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 part fixe,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 part modulable;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charges sociales hors pension civile ;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29.90779876708984" w:lineRule="auto"/>
        <w:ind w:left="729.5201110839844" w:right="-6.400146484375" w:hanging="357.04010009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L’indemnité compensatrice des conditions de vie locale (ICCVL) ou le cas  échéant, l’indemnité spécifique liée aux conditions de vie locale (ISVL) (en  complément de la facturation de la PRRD);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807056427002" w:lineRule="auto"/>
        <w:ind w:left="723.280029296875" w:right="-4.599609375" w:hanging="357.04010009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Pour l’ensemble des personnels détachés auprès de l’AEFE pour exercer leurs  fonctions dans des établissements, quel que soit leur statut, les accessoires de  rémunération qui se composent de : :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453.8401794433594" w:right="3.1201171875" w:hanging="356.8801879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L’indemnité de suivi et d’accompagnement des élèves (ISAE) pour les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personnels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 premier degré ;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63330078125" w:line="229.90804195404053" w:lineRule="auto"/>
        <w:ind w:left="1448.3201599121094" w:right="-4.840087890625" w:hanging="351.36016845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indemnités péri-éducatives (IPE) pour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les personnels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 premier  degré ;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449.5201110839844" w:right="0.95947265625" w:hanging="352.5601196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heures supplémentaires année (HSA) et les heures supplémentaires  effectives (HSE) ;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109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indemnités pour mission particulière (IMP)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indemnités de jury et d’examen (IJE)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448.3201599121094" w:right="2.16064453125" w:hanging="351.360168457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 toute autre prime ou indemnité que le gouvernement français  déciderait de verser aux fonctionnaires exerçant en France dans les  écoles publiques et établissements publics locaux d’enseignement.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4482421875" w:line="229.9079990386963" w:lineRule="auto"/>
        <w:ind w:left="8.639984130859375" w:right="-2.03857421875" w:firstLine="9.60006713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contribution globale est complétée par une participation financière complémentaire  (PFC) prévue par la délibération n°35/2013 du 29 novembre 2013 assise sur le  montant des droits de scolarité et des droits d’inscription perçus par l’établissement,  après application d’un abattement forfaitaire de 6%. Toute augmentation du taux de  cette PFC doit être notifiée à l’organisme gestionnaire, par l’intermédiaire du chef de  poste diplomatique, au plus tard le 31 août de l’année précédant sa prise d’effet.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5.52001953125" w:right="-4.3603515625" w:hanging="2.6399230957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Toute autre contribution devra faire l’objet d’une délibération du conseil  d’administration de l’AEFE en vertu du 11e alinéa de l’article D. 452-8 du Code de  l’éducation.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62109375"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Article 3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719482421875" w:line="229.908185005188" w:lineRule="auto"/>
        <w:ind w:left="8.639984130859375" w:right="-6.400146484375" w:firstLine="10.8000183105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Dans les dispositions particulières de la convention, les mentions faisant référence, le  cas échéant, aux personnels « expatriés » sont applicables aux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personnels d’encadrement, et aux personnels de formation des enseignants.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mentions faisant référence, le cas échéant, aux personnels « résidents » sont  applicables aux</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les personnels d’enseignement, d’éducation et d’administration.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8.4112548828125"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Article 4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31.35187149047852" w:lineRule="auto"/>
        <w:ind w:left="8.39996337890625" w:right="323.9599609375" w:hanging="5.03997802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Toutes les autres clauses de la Convention signée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XXXX (date)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demeurent  inchangées et restent applicables tant qu'elles ne sont pas contraires aux  dispositions contenues dans le présent avenant, lesquelles prévalent en cas de  différence.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826171875" w:line="240" w:lineRule="auto"/>
        <w:ind w:left="19.680023193359375" w:right="0" w:firstLine="0"/>
        <w:jc w:val="left"/>
        <w:rPr>
          <w:rFonts w:ascii="Arial" w:cs="Arial" w:eastAsia="Arial" w:hAnsi="Arial"/>
          <w:b w:val="0"/>
          <w:i w:val="0"/>
          <w:smallCaps w:val="0"/>
          <w:strike w:val="0"/>
          <w:color w:val="000000"/>
          <w:sz w:val="24"/>
          <w:szCs w:val="24"/>
          <w:u w:val="none"/>
          <w:shd w:fill="auto" w:val="clear"/>
          <w:vertAlign w:val="baseline"/>
        </w:rPr>
        <w:sectPr>
          <w:pgSz w:h="16820" w:w="11900" w:orient="portrait"/>
          <w:pgMar w:bottom="1385.2798461914062" w:top="1116.0009765625" w:left="1416.4799499511719" w:right="1349.68017578125"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Fait à……………………, le………………….., en deux exemplaires.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92041015625" w:line="229.90779876708984" w:lineRule="auto"/>
        <w:ind w:left="0" w:right="230.880126953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Pour l’Agence pour l’enseignement  français à l’étranger,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390.399780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l’Ambassadeur de France à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550262451" w:lineRule="auto"/>
        <w:ind w:left="778.9202880859375" w:right="0.280151367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Pour l’organisme gestionnaire, Le(a) Président(e)</w:t>
      </w:r>
    </w:p>
    <w:sectPr>
      <w:type w:val="continuous"/>
      <w:pgSz w:h="16820" w:w="11900" w:orient="portrait"/>
      <w:pgMar w:bottom="1385.2798461914062" w:top="1116.0009765625" w:left="1850.1600646972656" w:right="2050.1202392578125" w:header="0" w:footer="720"/>
      <w:cols w:equalWidth="0" w:num="2">
        <w:col w:space="0" w:w="4000"/>
        <w:col w:space="0" w:w="40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